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28" w:rsidRPr="00782966" w:rsidRDefault="00561028" w:rsidP="00561028">
      <w:pPr>
        <w:pStyle w:val="Cm"/>
      </w:pPr>
      <w:r w:rsidRPr="00782966">
        <w:t>SZENT ISTVÁN EGYETEM</w:t>
      </w:r>
    </w:p>
    <w:p w:rsidR="00561028" w:rsidRPr="00782966" w:rsidRDefault="00561028" w:rsidP="00561028">
      <w:pPr>
        <w:spacing w:line="240" w:lineRule="auto"/>
        <w:jc w:val="center"/>
        <w:rPr>
          <w:b/>
          <w:bCs/>
        </w:rPr>
      </w:pPr>
      <w:r w:rsidRPr="00782966">
        <w:rPr>
          <w:b/>
          <w:bCs/>
        </w:rPr>
        <w:t>GÖDÖLLŐ</w:t>
      </w:r>
    </w:p>
    <w:p w:rsidR="00561028" w:rsidRPr="00782966" w:rsidRDefault="00561028" w:rsidP="00561028">
      <w:pPr>
        <w:spacing w:line="240" w:lineRule="auto"/>
        <w:jc w:val="center"/>
        <w:rPr>
          <w:b/>
          <w:bCs/>
        </w:rPr>
      </w:pPr>
    </w:p>
    <w:p w:rsidR="00561028" w:rsidRPr="00782966" w:rsidRDefault="00561028" w:rsidP="00561028">
      <w:pPr>
        <w:spacing w:line="240" w:lineRule="auto"/>
        <w:jc w:val="center"/>
        <w:rPr>
          <w:b/>
          <w:bCs/>
        </w:rPr>
      </w:pPr>
    </w:p>
    <w:p w:rsidR="00561028" w:rsidRPr="00782966" w:rsidRDefault="00561028" w:rsidP="00561028">
      <w:pPr>
        <w:spacing w:line="240" w:lineRule="auto"/>
        <w:jc w:val="center"/>
        <w:rPr>
          <w:b/>
          <w:bCs/>
        </w:rPr>
      </w:pPr>
    </w:p>
    <w:p w:rsidR="00561028" w:rsidRPr="00782966" w:rsidRDefault="00561028" w:rsidP="00561028">
      <w:pPr>
        <w:spacing w:line="240" w:lineRule="auto"/>
        <w:jc w:val="center"/>
        <w:rPr>
          <w:b/>
          <w:bCs/>
        </w:rPr>
      </w:pPr>
    </w:p>
    <w:p w:rsidR="00561028" w:rsidRPr="00782966" w:rsidRDefault="00561028" w:rsidP="00561028">
      <w:pPr>
        <w:spacing w:line="240" w:lineRule="auto"/>
        <w:jc w:val="center"/>
        <w:rPr>
          <w:b/>
          <w:bCs/>
        </w:rPr>
      </w:pPr>
    </w:p>
    <w:p w:rsidR="00561028" w:rsidRPr="00782966" w:rsidRDefault="00561028" w:rsidP="00561028">
      <w:pPr>
        <w:spacing w:line="240" w:lineRule="auto"/>
        <w:jc w:val="center"/>
        <w:rPr>
          <w:b/>
          <w:bCs/>
        </w:rPr>
      </w:pPr>
    </w:p>
    <w:p w:rsidR="00561028" w:rsidRPr="00782966" w:rsidRDefault="00561028" w:rsidP="00561028">
      <w:pPr>
        <w:spacing w:line="240" w:lineRule="auto"/>
        <w:jc w:val="center"/>
        <w:rPr>
          <w:b/>
          <w:bCs/>
        </w:rPr>
      </w:pPr>
    </w:p>
    <w:p w:rsidR="00561028" w:rsidRPr="00782966" w:rsidRDefault="00561028" w:rsidP="00561028">
      <w:pPr>
        <w:spacing w:line="240" w:lineRule="auto"/>
        <w:jc w:val="center"/>
        <w:rPr>
          <w:b/>
          <w:bCs/>
        </w:rPr>
      </w:pPr>
    </w:p>
    <w:p w:rsidR="00561028" w:rsidRPr="00782966" w:rsidRDefault="00561028" w:rsidP="00561028">
      <w:pPr>
        <w:spacing w:line="240" w:lineRule="auto"/>
        <w:jc w:val="center"/>
        <w:rPr>
          <w:b/>
          <w:bCs/>
        </w:rPr>
      </w:pPr>
    </w:p>
    <w:p w:rsidR="00561028" w:rsidRPr="00782966" w:rsidRDefault="00561028" w:rsidP="00561028">
      <w:pPr>
        <w:spacing w:line="240" w:lineRule="auto"/>
        <w:jc w:val="center"/>
        <w:rPr>
          <w:b/>
          <w:bCs/>
        </w:rPr>
      </w:pPr>
    </w:p>
    <w:p w:rsidR="00561028" w:rsidRPr="00782966" w:rsidRDefault="00561028" w:rsidP="00561028">
      <w:pPr>
        <w:spacing w:line="240" w:lineRule="auto"/>
        <w:jc w:val="center"/>
        <w:rPr>
          <w:b/>
          <w:bCs/>
        </w:rPr>
      </w:pPr>
    </w:p>
    <w:p w:rsidR="00561028" w:rsidRPr="00782966" w:rsidRDefault="00561028" w:rsidP="00561028">
      <w:pPr>
        <w:spacing w:line="240" w:lineRule="auto"/>
        <w:jc w:val="center"/>
        <w:rPr>
          <w:b/>
          <w:bCs/>
        </w:rPr>
      </w:pPr>
    </w:p>
    <w:p w:rsidR="00561028" w:rsidRPr="00782966" w:rsidRDefault="00561028" w:rsidP="00561028">
      <w:pPr>
        <w:spacing w:line="240" w:lineRule="auto"/>
        <w:jc w:val="center"/>
        <w:rPr>
          <w:b/>
          <w:bCs/>
        </w:rPr>
      </w:pPr>
    </w:p>
    <w:p w:rsidR="00561028" w:rsidRPr="00782966" w:rsidRDefault="00561028" w:rsidP="00561028">
      <w:pPr>
        <w:spacing w:line="240" w:lineRule="auto"/>
        <w:jc w:val="center"/>
        <w:rPr>
          <w:b/>
          <w:bCs/>
        </w:rPr>
      </w:pPr>
    </w:p>
    <w:p w:rsidR="00561028" w:rsidRPr="00782966" w:rsidRDefault="00561028" w:rsidP="00561028">
      <w:pPr>
        <w:spacing w:line="240" w:lineRule="auto"/>
        <w:rPr>
          <w:b/>
          <w:bCs/>
        </w:rPr>
      </w:pPr>
    </w:p>
    <w:p w:rsidR="00561028" w:rsidRPr="00782966" w:rsidRDefault="00561028" w:rsidP="00561028">
      <w:pPr>
        <w:spacing w:line="240" w:lineRule="auto"/>
        <w:jc w:val="center"/>
        <w:rPr>
          <w:b/>
          <w:bCs/>
        </w:rPr>
      </w:pPr>
    </w:p>
    <w:p w:rsidR="00561028" w:rsidRPr="00782966" w:rsidRDefault="00561028" w:rsidP="00561028">
      <w:pPr>
        <w:spacing w:line="240" w:lineRule="auto"/>
        <w:jc w:val="center"/>
        <w:rPr>
          <w:b/>
          <w:bCs/>
        </w:rPr>
      </w:pPr>
    </w:p>
    <w:p w:rsidR="00561028" w:rsidRPr="00782966" w:rsidRDefault="00561028" w:rsidP="00561028">
      <w:pPr>
        <w:spacing w:line="240" w:lineRule="auto"/>
        <w:jc w:val="center"/>
        <w:rPr>
          <w:b/>
          <w:bCs/>
        </w:rPr>
      </w:pPr>
      <w:r w:rsidRPr="00782966">
        <w:rPr>
          <w:b/>
          <w:bCs/>
        </w:rPr>
        <w:t xml:space="preserve">SZMSZ </w:t>
      </w:r>
      <w:r>
        <w:rPr>
          <w:b/>
          <w:bCs/>
        </w:rPr>
        <w:t>5</w:t>
      </w:r>
      <w:r w:rsidRPr="00782966">
        <w:rPr>
          <w:b/>
          <w:bCs/>
        </w:rPr>
        <w:t>. sz. mellékletének</w:t>
      </w:r>
      <w:r>
        <w:rPr>
          <w:b/>
          <w:bCs/>
        </w:rPr>
        <w:t xml:space="preserve"> d) részének</w:t>
      </w:r>
    </w:p>
    <w:p w:rsidR="00561028" w:rsidRPr="00782966" w:rsidRDefault="00561028" w:rsidP="00561028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A </w:t>
      </w:r>
      <w:r w:rsidRPr="00782966">
        <w:rPr>
          <w:b/>
          <w:bCs/>
        </w:rPr>
        <w:t>„</w:t>
      </w:r>
      <w:r w:rsidRPr="0084737A">
        <w:rPr>
          <w:b/>
          <w:bCs/>
          <w:caps/>
        </w:rPr>
        <w:t xml:space="preserve">Térítési </w:t>
      </w:r>
      <w:proofErr w:type="gramStart"/>
      <w:r w:rsidRPr="0084737A">
        <w:rPr>
          <w:b/>
          <w:bCs/>
          <w:caps/>
        </w:rPr>
        <w:t>és</w:t>
      </w:r>
      <w:proofErr w:type="gramEnd"/>
      <w:r w:rsidRPr="0084737A">
        <w:rPr>
          <w:b/>
          <w:bCs/>
          <w:caps/>
        </w:rPr>
        <w:t xml:space="preserve"> Juttatási Szabályzat</w:t>
      </w:r>
      <w:r>
        <w:rPr>
          <w:b/>
          <w:bCs/>
          <w:caps/>
        </w:rPr>
        <w:t>ÁNAK</w:t>
      </w:r>
      <w:r w:rsidRPr="00782966">
        <w:rPr>
          <w:b/>
          <w:bCs/>
        </w:rPr>
        <w:t>”</w:t>
      </w:r>
    </w:p>
    <w:p w:rsidR="00561028" w:rsidRDefault="00561028" w:rsidP="00561028">
      <w:pPr>
        <w:spacing w:line="240" w:lineRule="auto"/>
        <w:jc w:val="center"/>
        <w:rPr>
          <w:b/>
          <w:bCs/>
          <w:highlight w:val="yellow"/>
        </w:rPr>
      </w:pPr>
    </w:p>
    <w:p w:rsidR="00561028" w:rsidRPr="00782966" w:rsidRDefault="00561028" w:rsidP="00561028">
      <w:pPr>
        <w:spacing w:line="240" w:lineRule="auto"/>
        <w:jc w:val="center"/>
        <w:rPr>
          <w:b/>
          <w:bCs/>
        </w:rPr>
      </w:pPr>
      <w:r>
        <w:rPr>
          <w:b/>
          <w:bCs/>
        </w:rPr>
        <w:t>1</w:t>
      </w:r>
      <w:r w:rsidRPr="00782966">
        <w:rPr>
          <w:b/>
          <w:bCs/>
        </w:rPr>
        <w:t>. számú függeléke</w:t>
      </w:r>
    </w:p>
    <w:p w:rsidR="00561028" w:rsidRPr="00782966" w:rsidRDefault="00561028" w:rsidP="00561028">
      <w:pPr>
        <w:jc w:val="center"/>
        <w:rPr>
          <w:b/>
          <w:bCs/>
          <w:caps/>
        </w:rPr>
      </w:pPr>
      <w:bookmarkStart w:id="0" w:name="_Toc257360356"/>
      <w:bookmarkStart w:id="1" w:name="_Toc301781258"/>
      <w:r>
        <w:rPr>
          <w:b/>
          <w:caps/>
        </w:rPr>
        <w:t>„</w:t>
      </w:r>
      <w:bookmarkStart w:id="2" w:name="_GoBack"/>
      <w:r w:rsidRPr="00782966">
        <w:rPr>
          <w:b/>
          <w:caps/>
        </w:rPr>
        <w:t xml:space="preserve">Kocsis Károly fiatal oktatói, kutatói ösztöndíj </w:t>
      </w:r>
      <w:r w:rsidRPr="00782966">
        <w:rPr>
          <w:b/>
          <w:bCs/>
          <w:caps/>
        </w:rPr>
        <w:t>SZABÁLYZATA</w:t>
      </w:r>
      <w:bookmarkEnd w:id="0"/>
      <w:bookmarkEnd w:id="1"/>
      <w:bookmarkEnd w:id="2"/>
      <w:r>
        <w:rPr>
          <w:b/>
          <w:bCs/>
          <w:caps/>
        </w:rPr>
        <w:t>”</w:t>
      </w:r>
    </w:p>
    <w:p w:rsidR="00561028" w:rsidRPr="00782966" w:rsidRDefault="00561028" w:rsidP="00561028">
      <w:pPr>
        <w:spacing w:line="240" w:lineRule="auto"/>
        <w:jc w:val="center"/>
        <w:rPr>
          <w:b/>
          <w:bCs/>
        </w:rPr>
      </w:pPr>
    </w:p>
    <w:p w:rsidR="00561028" w:rsidRPr="00782966" w:rsidRDefault="00561028" w:rsidP="00561028">
      <w:pPr>
        <w:spacing w:line="240" w:lineRule="auto"/>
        <w:jc w:val="center"/>
        <w:rPr>
          <w:b/>
          <w:bCs/>
        </w:rPr>
      </w:pPr>
    </w:p>
    <w:p w:rsidR="00561028" w:rsidRPr="00782966" w:rsidRDefault="00561028" w:rsidP="00561028">
      <w:pPr>
        <w:spacing w:line="240" w:lineRule="auto"/>
        <w:jc w:val="center"/>
        <w:rPr>
          <w:b/>
          <w:bCs/>
        </w:rPr>
      </w:pPr>
    </w:p>
    <w:p w:rsidR="00561028" w:rsidRPr="00782966" w:rsidRDefault="00561028" w:rsidP="00561028">
      <w:pPr>
        <w:spacing w:line="240" w:lineRule="auto"/>
        <w:jc w:val="center"/>
        <w:rPr>
          <w:b/>
          <w:bCs/>
        </w:rPr>
      </w:pPr>
    </w:p>
    <w:p w:rsidR="00561028" w:rsidRPr="00782966" w:rsidRDefault="00561028" w:rsidP="00561028">
      <w:pPr>
        <w:spacing w:line="240" w:lineRule="auto"/>
        <w:jc w:val="center"/>
        <w:rPr>
          <w:b/>
          <w:bCs/>
        </w:rPr>
      </w:pPr>
    </w:p>
    <w:p w:rsidR="00561028" w:rsidRPr="00782966" w:rsidRDefault="00561028" w:rsidP="00561028">
      <w:pPr>
        <w:spacing w:line="240" w:lineRule="auto"/>
        <w:jc w:val="center"/>
        <w:rPr>
          <w:b/>
          <w:bCs/>
        </w:rPr>
      </w:pPr>
    </w:p>
    <w:p w:rsidR="00561028" w:rsidRPr="00782966" w:rsidRDefault="00561028" w:rsidP="00561028">
      <w:pPr>
        <w:spacing w:line="240" w:lineRule="auto"/>
        <w:jc w:val="center"/>
        <w:rPr>
          <w:b/>
          <w:bCs/>
        </w:rPr>
      </w:pPr>
    </w:p>
    <w:p w:rsidR="00561028" w:rsidRPr="00782966" w:rsidRDefault="00561028" w:rsidP="00561028">
      <w:pPr>
        <w:spacing w:line="240" w:lineRule="auto"/>
        <w:jc w:val="center"/>
        <w:rPr>
          <w:b/>
          <w:bCs/>
        </w:rPr>
      </w:pPr>
    </w:p>
    <w:p w:rsidR="00561028" w:rsidRPr="00782966" w:rsidRDefault="00561028" w:rsidP="00561028">
      <w:pPr>
        <w:spacing w:line="240" w:lineRule="auto"/>
        <w:jc w:val="center"/>
        <w:rPr>
          <w:b/>
          <w:bCs/>
        </w:rPr>
      </w:pPr>
    </w:p>
    <w:p w:rsidR="00561028" w:rsidRPr="00782966" w:rsidRDefault="00561028" w:rsidP="00561028">
      <w:pPr>
        <w:spacing w:line="240" w:lineRule="auto"/>
        <w:jc w:val="center"/>
        <w:rPr>
          <w:b/>
          <w:bCs/>
        </w:rPr>
      </w:pPr>
    </w:p>
    <w:p w:rsidR="00561028" w:rsidRPr="00782966" w:rsidRDefault="00561028" w:rsidP="00561028">
      <w:pPr>
        <w:spacing w:line="240" w:lineRule="auto"/>
        <w:jc w:val="center"/>
        <w:rPr>
          <w:b/>
          <w:bCs/>
        </w:rPr>
      </w:pPr>
    </w:p>
    <w:p w:rsidR="00561028" w:rsidRPr="00782966" w:rsidRDefault="00561028" w:rsidP="00561028">
      <w:pPr>
        <w:spacing w:line="240" w:lineRule="auto"/>
        <w:jc w:val="center"/>
        <w:rPr>
          <w:b/>
          <w:bCs/>
        </w:rPr>
      </w:pPr>
    </w:p>
    <w:p w:rsidR="00561028" w:rsidRPr="00782966" w:rsidRDefault="00561028" w:rsidP="00561028">
      <w:pPr>
        <w:spacing w:line="240" w:lineRule="auto"/>
        <w:jc w:val="center"/>
        <w:rPr>
          <w:b/>
          <w:bCs/>
        </w:rPr>
      </w:pPr>
    </w:p>
    <w:p w:rsidR="00561028" w:rsidRPr="00782966" w:rsidRDefault="00561028" w:rsidP="00561028">
      <w:pPr>
        <w:spacing w:line="240" w:lineRule="auto"/>
        <w:jc w:val="center"/>
        <w:rPr>
          <w:b/>
          <w:bCs/>
        </w:rPr>
      </w:pPr>
    </w:p>
    <w:p w:rsidR="00561028" w:rsidRPr="00782966" w:rsidRDefault="00561028" w:rsidP="00561028">
      <w:pPr>
        <w:spacing w:line="240" w:lineRule="auto"/>
        <w:jc w:val="center"/>
        <w:rPr>
          <w:b/>
          <w:bCs/>
        </w:rPr>
      </w:pPr>
    </w:p>
    <w:p w:rsidR="00561028" w:rsidRPr="00782966" w:rsidRDefault="00561028" w:rsidP="00561028">
      <w:pPr>
        <w:spacing w:line="240" w:lineRule="auto"/>
        <w:jc w:val="center"/>
        <w:rPr>
          <w:b/>
          <w:bCs/>
        </w:rPr>
      </w:pPr>
    </w:p>
    <w:p w:rsidR="00561028" w:rsidRPr="00782966" w:rsidRDefault="00561028" w:rsidP="00561028">
      <w:pPr>
        <w:spacing w:line="240" w:lineRule="auto"/>
        <w:jc w:val="center"/>
        <w:rPr>
          <w:b/>
          <w:bCs/>
        </w:rPr>
      </w:pPr>
    </w:p>
    <w:p w:rsidR="00561028" w:rsidRPr="00782966" w:rsidRDefault="00561028" w:rsidP="00561028">
      <w:pPr>
        <w:spacing w:line="240" w:lineRule="auto"/>
        <w:jc w:val="center"/>
        <w:rPr>
          <w:b/>
          <w:bCs/>
        </w:rPr>
      </w:pPr>
    </w:p>
    <w:p w:rsidR="00561028" w:rsidRPr="00782966" w:rsidRDefault="00561028" w:rsidP="00561028">
      <w:pPr>
        <w:spacing w:line="240" w:lineRule="auto"/>
        <w:jc w:val="center"/>
        <w:rPr>
          <w:b/>
          <w:bCs/>
        </w:rPr>
      </w:pPr>
    </w:p>
    <w:p w:rsidR="00561028" w:rsidRDefault="00561028" w:rsidP="00561028">
      <w:pPr>
        <w:spacing w:line="240" w:lineRule="auto"/>
        <w:jc w:val="center"/>
        <w:rPr>
          <w:b/>
          <w:bCs/>
        </w:rPr>
      </w:pPr>
    </w:p>
    <w:p w:rsidR="00561028" w:rsidRDefault="00561028" w:rsidP="00561028">
      <w:pPr>
        <w:spacing w:line="240" w:lineRule="auto"/>
        <w:jc w:val="center"/>
        <w:rPr>
          <w:b/>
          <w:bCs/>
        </w:rPr>
      </w:pPr>
    </w:p>
    <w:p w:rsidR="00561028" w:rsidRDefault="00561028" w:rsidP="00561028">
      <w:pPr>
        <w:spacing w:line="240" w:lineRule="auto"/>
        <w:jc w:val="center"/>
        <w:rPr>
          <w:b/>
          <w:bCs/>
        </w:rPr>
      </w:pPr>
    </w:p>
    <w:p w:rsidR="00561028" w:rsidRPr="00782966" w:rsidRDefault="00561028" w:rsidP="00561028">
      <w:pPr>
        <w:spacing w:line="240" w:lineRule="auto"/>
        <w:jc w:val="center"/>
        <w:rPr>
          <w:b/>
          <w:bCs/>
        </w:rPr>
      </w:pPr>
    </w:p>
    <w:p w:rsidR="00561028" w:rsidRPr="00791E45" w:rsidRDefault="00561028" w:rsidP="00561028">
      <w:pPr>
        <w:spacing w:line="240" w:lineRule="auto"/>
        <w:jc w:val="center"/>
        <w:rPr>
          <w:b/>
        </w:rPr>
      </w:pPr>
    </w:p>
    <w:p w:rsidR="00561028" w:rsidRPr="00264EB3" w:rsidRDefault="00561028" w:rsidP="00561028">
      <w:pPr>
        <w:spacing w:line="240" w:lineRule="auto"/>
        <w:jc w:val="center"/>
        <w:rPr>
          <w:b/>
          <w:u w:val="single"/>
        </w:rPr>
      </w:pPr>
      <w:r>
        <w:rPr>
          <w:b/>
        </w:rPr>
        <w:t>2017</w:t>
      </w:r>
      <w:r w:rsidRPr="00782966">
        <w:rPr>
          <w:b/>
        </w:rPr>
        <w:t xml:space="preserve">. </w:t>
      </w:r>
      <w:r>
        <w:rPr>
          <w:b/>
          <w:bCs/>
        </w:rPr>
        <w:t>február</w:t>
      </w:r>
    </w:p>
    <w:p w:rsidR="00561028" w:rsidRPr="00782966" w:rsidRDefault="00561028" w:rsidP="00561028">
      <w:pPr>
        <w:pStyle w:val="Cimsor2"/>
        <w:spacing w:before="0" w:after="0"/>
        <w:rPr>
          <w:rFonts w:cs="Times New Roman"/>
        </w:rPr>
      </w:pPr>
      <w:r w:rsidRPr="00782966">
        <w:rPr>
          <w:rFonts w:cs="Times New Roman"/>
          <w:b w:val="0"/>
          <w:bCs w:val="0"/>
        </w:rPr>
        <w:br w:type="page"/>
      </w:r>
      <w:bookmarkStart w:id="3" w:name="_Toc288814820"/>
      <w:bookmarkStart w:id="4" w:name="_Toc301781259"/>
      <w:r w:rsidRPr="00782966">
        <w:rPr>
          <w:rFonts w:cs="Times New Roman"/>
        </w:rPr>
        <w:lastRenderedPageBreak/>
        <w:t>Bevezetés</w:t>
      </w:r>
      <w:bookmarkEnd w:id="3"/>
      <w:bookmarkEnd w:id="4"/>
    </w:p>
    <w:p w:rsidR="00561028" w:rsidRPr="00782966" w:rsidRDefault="00561028" w:rsidP="00561028">
      <w:pPr>
        <w:spacing w:line="240" w:lineRule="auto"/>
        <w:jc w:val="center"/>
        <w:rPr>
          <w:b/>
          <w:bCs/>
        </w:rPr>
      </w:pPr>
    </w:p>
    <w:p w:rsidR="00561028" w:rsidRPr="00782966" w:rsidRDefault="00561028" w:rsidP="00561028">
      <w:pPr>
        <w:spacing w:line="240" w:lineRule="auto"/>
        <w:jc w:val="both"/>
      </w:pPr>
      <w:r w:rsidRPr="00F9083B">
        <w:t xml:space="preserve">A </w:t>
      </w:r>
      <w:r w:rsidRPr="00F9083B">
        <w:rPr>
          <w:bCs/>
        </w:rPr>
        <w:t>felsőoktatásról</w:t>
      </w:r>
      <w:r w:rsidRPr="00F9083B">
        <w:t xml:space="preserve"> szóló </w:t>
      </w:r>
      <w:r w:rsidRPr="00F9083B">
        <w:rPr>
          <w:bCs/>
        </w:rPr>
        <w:t xml:space="preserve">2005. évi CXXXIX. törvény </w:t>
      </w:r>
      <w:r>
        <w:rPr>
          <w:bCs/>
        </w:rPr>
        <w:t>21. § (3) bekezdés g) pontja és a</w:t>
      </w:r>
      <w:r w:rsidRPr="00782966">
        <w:t xml:space="preserve"> </w:t>
      </w:r>
      <w:r w:rsidRPr="00A230D8">
        <w:t xml:space="preserve">felsőoktatásban részt vevő hallgatók juttatásairól és az általuk fizetendő egyes térítésekről </w:t>
      </w:r>
      <w:r>
        <w:t xml:space="preserve">szóló </w:t>
      </w:r>
      <w:r w:rsidRPr="00A230D8">
        <w:t>51/2007. (III. 26.) Korm. rendelet</w:t>
      </w:r>
      <w:r>
        <w:t xml:space="preserve"> </w:t>
      </w:r>
      <w:r w:rsidRPr="00A230D8">
        <w:t>6. § (2) bekezdése alapján a Szent István Egyetem pályázati úto</w:t>
      </w:r>
      <w:r>
        <w:t xml:space="preserve">n </w:t>
      </w:r>
      <w:r w:rsidRPr="001B534D">
        <w:rPr>
          <w:b/>
        </w:rPr>
        <w:t>„</w:t>
      </w:r>
      <w:r w:rsidRPr="00051333">
        <w:rPr>
          <w:b/>
        </w:rPr>
        <w:t>Kocsis Károly</w:t>
      </w:r>
      <w:r>
        <w:rPr>
          <w:b/>
        </w:rPr>
        <w:t>”</w:t>
      </w:r>
      <w:r w:rsidRPr="00051333">
        <w:rPr>
          <w:b/>
        </w:rPr>
        <w:t xml:space="preserve"> Fiatal Oktatói, Kutatói Ösztöndíjat</w:t>
      </w:r>
      <w:r>
        <w:t xml:space="preserve"> (a továbbiakban: Kocsis Károly Ösztöndíj) alapít az olyan</w:t>
      </w:r>
      <w:r w:rsidRPr="00A230D8">
        <w:t xml:space="preserve"> tehetséges fiatal kutatók és oktatók támogatás</w:t>
      </w:r>
      <w:r>
        <w:t>ár</w:t>
      </w:r>
      <w:r w:rsidRPr="00A230D8">
        <w:t>a, akik a doktori cselekményük keretében kiemelkedő tudományos munkát végeznek, és így hozzájárulnak az Egyetem oktatói, kutató</w:t>
      </w:r>
      <w:r>
        <w:t>i utánpótlásának biztosításához. A Kocsis Károly</w:t>
      </w:r>
      <w:r w:rsidRPr="00782966">
        <w:t xml:space="preserve"> </w:t>
      </w:r>
      <w:r>
        <w:t>Ösztöndíj</w:t>
      </w:r>
      <w:r w:rsidRPr="00782966">
        <w:t xml:space="preserve"> odaítéléséről a jelen szabályzat rendelkezik.</w:t>
      </w:r>
    </w:p>
    <w:p w:rsidR="00561028" w:rsidRPr="00782966" w:rsidRDefault="00561028" w:rsidP="00561028">
      <w:pPr>
        <w:spacing w:line="240" w:lineRule="auto"/>
        <w:jc w:val="both"/>
      </w:pPr>
    </w:p>
    <w:p w:rsidR="00561028" w:rsidRPr="00395638" w:rsidRDefault="00561028" w:rsidP="00561028">
      <w:pPr>
        <w:pStyle w:val="Cimsor2"/>
        <w:spacing w:before="0" w:after="0"/>
        <w:rPr>
          <w:rFonts w:cs="Times New Roman"/>
          <w:sz w:val="22"/>
          <w:szCs w:val="22"/>
        </w:rPr>
      </w:pPr>
      <w:bookmarkStart w:id="5" w:name="_Toc288814821"/>
      <w:bookmarkStart w:id="6" w:name="_Toc301781260"/>
      <w:r w:rsidRPr="00395638">
        <w:rPr>
          <w:rFonts w:cs="Times New Roman"/>
          <w:sz w:val="22"/>
          <w:szCs w:val="22"/>
        </w:rPr>
        <w:t>A Kocsis Károly Ösztöndíj odaítélésének feltételei</w:t>
      </w:r>
      <w:bookmarkEnd w:id="5"/>
      <w:bookmarkEnd w:id="6"/>
    </w:p>
    <w:p w:rsidR="00561028" w:rsidRPr="00395638" w:rsidRDefault="00561028" w:rsidP="00561028">
      <w:pPr>
        <w:spacing w:line="240" w:lineRule="auto"/>
        <w:jc w:val="center"/>
        <w:rPr>
          <w:b/>
          <w:bCs/>
        </w:rPr>
      </w:pPr>
    </w:p>
    <w:p w:rsidR="00561028" w:rsidRPr="00395638" w:rsidRDefault="00561028" w:rsidP="00561028">
      <w:pPr>
        <w:spacing w:line="240" w:lineRule="auto"/>
        <w:ind w:left="-360"/>
        <w:jc w:val="center"/>
      </w:pPr>
      <w:r w:rsidRPr="00395638">
        <w:t>1.§</w:t>
      </w:r>
    </w:p>
    <w:p w:rsidR="00561028" w:rsidRPr="00395638" w:rsidRDefault="00561028" w:rsidP="00561028">
      <w:pPr>
        <w:spacing w:line="240" w:lineRule="auto"/>
        <w:jc w:val="center"/>
      </w:pPr>
    </w:p>
    <w:p w:rsidR="00561028" w:rsidRPr="00395638" w:rsidRDefault="00561028" w:rsidP="00561028">
      <w:pPr>
        <w:pStyle w:val="Szvegtrzs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(1) A</w:t>
      </w:r>
      <w:r w:rsidRPr="00395638">
        <w:rPr>
          <w:sz w:val="22"/>
          <w:szCs w:val="22"/>
        </w:rPr>
        <w:t xml:space="preserve"> Kocsis Károly Fiatal Oktatói, Kutatói Ösztöndíj keretében a Szent István Egyetem az olyan tehetséges fiatal oktatókat és kutatókat ösztöndíjjal kívánja támogatni, akik megfelelnek a következő feltételeknek:</w:t>
      </w:r>
    </w:p>
    <w:p w:rsidR="00561028" w:rsidRPr="00395638" w:rsidRDefault="00561028" w:rsidP="00561028">
      <w:pPr>
        <w:pStyle w:val="Szvegtrzs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395638">
        <w:rPr>
          <w:sz w:val="22"/>
          <w:szCs w:val="22"/>
        </w:rPr>
        <w:t>abszolutórium megszerzése</w:t>
      </w:r>
      <w:r>
        <w:rPr>
          <w:sz w:val="22"/>
          <w:szCs w:val="22"/>
        </w:rPr>
        <w:t xml:space="preserve"> a doktori képzésben</w:t>
      </w:r>
      <w:r w:rsidRPr="00395638">
        <w:rPr>
          <w:sz w:val="22"/>
          <w:szCs w:val="22"/>
        </w:rPr>
        <w:t>;</w:t>
      </w:r>
    </w:p>
    <w:p w:rsidR="00561028" w:rsidRDefault="00561028" w:rsidP="00561028">
      <w:pPr>
        <w:pStyle w:val="Szvegtrzs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a Szent István Egyetemmel fennálló jogviszony:</w:t>
      </w:r>
    </w:p>
    <w:p w:rsidR="00561028" w:rsidRDefault="00561028" w:rsidP="00561028">
      <w:pPr>
        <w:pStyle w:val="Szvegtrzs"/>
        <w:numPr>
          <w:ilvl w:val="1"/>
          <w:numId w:val="1"/>
        </w:numPr>
        <w:spacing w:after="0"/>
        <w:jc w:val="both"/>
        <w:rPr>
          <w:sz w:val="22"/>
          <w:szCs w:val="22"/>
        </w:rPr>
      </w:pPr>
      <w:r w:rsidRPr="00395638">
        <w:rPr>
          <w:sz w:val="22"/>
          <w:szCs w:val="22"/>
        </w:rPr>
        <w:t xml:space="preserve">oktatói- / kutatói </w:t>
      </w:r>
      <w:r>
        <w:rPr>
          <w:sz w:val="22"/>
          <w:szCs w:val="22"/>
        </w:rPr>
        <w:t xml:space="preserve">munkakörben fennálló </w:t>
      </w:r>
      <w:r w:rsidRPr="00395638">
        <w:rPr>
          <w:sz w:val="22"/>
          <w:szCs w:val="22"/>
        </w:rPr>
        <w:t>közalkalmazotti jogviszony a Szent István Egyetemen;</w:t>
      </w:r>
      <w:r>
        <w:rPr>
          <w:sz w:val="22"/>
          <w:szCs w:val="22"/>
        </w:rPr>
        <w:t xml:space="preserve"> vagy</w:t>
      </w:r>
    </w:p>
    <w:p w:rsidR="00561028" w:rsidRPr="00395638" w:rsidRDefault="00561028" w:rsidP="00561028">
      <w:pPr>
        <w:pStyle w:val="Szvegtrzs"/>
        <w:numPr>
          <w:ilvl w:val="1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doktorjelölti jogviszony</w:t>
      </w:r>
    </w:p>
    <w:p w:rsidR="00561028" w:rsidRPr="00395638" w:rsidRDefault="00561028" w:rsidP="00561028">
      <w:pPr>
        <w:pStyle w:val="Szvegtrzs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proofErr w:type="gramStart"/>
      <w:r w:rsidRPr="00395638">
        <w:rPr>
          <w:sz w:val="22"/>
          <w:szCs w:val="22"/>
        </w:rPr>
        <w:t>aktív</w:t>
      </w:r>
      <w:proofErr w:type="gramEnd"/>
      <w:r w:rsidRPr="00395638">
        <w:rPr>
          <w:sz w:val="22"/>
          <w:szCs w:val="22"/>
        </w:rPr>
        <w:t xml:space="preserve"> tudományos tevékenység</w:t>
      </w:r>
      <w:r>
        <w:rPr>
          <w:sz w:val="22"/>
          <w:szCs w:val="22"/>
        </w:rPr>
        <w:t>.</w:t>
      </w:r>
    </w:p>
    <w:p w:rsidR="00561028" w:rsidRPr="00395638" w:rsidRDefault="00561028" w:rsidP="00561028">
      <w:pPr>
        <w:pStyle w:val="Szvegtrzs"/>
        <w:spacing w:after="0"/>
        <w:rPr>
          <w:sz w:val="22"/>
          <w:szCs w:val="22"/>
        </w:rPr>
      </w:pPr>
    </w:p>
    <w:p w:rsidR="00561028" w:rsidRPr="00395638" w:rsidRDefault="00561028" w:rsidP="00561028">
      <w:pPr>
        <w:pStyle w:val="Cimsor2"/>
        <w:spacing w:before="0" w:after="0"/>
        <w:rPr>
          <w:rFonts w:cs="Times New Roman"/>
          <w:sz w:val="22"/>
          <w:szCs w:val="22"/>
        </w:rPr>
      </w:pPr>
      <w:bookmarkStart w:id="7" w:name="_Toc288814822"/>
      <w:bookmarkStart w:id="8" w:name="_Toc301781261"/>
      <w:r w:rsidRPr="00395638">
        <w:rPr>
          <w:rFonts w:cs="Times New Roman"/>
          <w:sz w:val="22"/>
          <w:szCs w:val="22"/>
        </w:rPr>
        <w:t>A Kocsis Károly Ösztöndíj odaítélésének rendje</w:t>
      </w:r>
      <w:bookmarkEnd w:id="7"/>
      <w:bookmarkEnd w:id="8"/>
    </w:p>
    <w:p w:rsidR="00561028" w:rsidRPr="00395638" w:rsidRDefault="00561028" w:rsidP="00561028">
      <w:pPr>
        <w:pStyle w:val="Szvegtrzs"/>
        <w:spacing w:after="0"/>
        <w:jc w:val="center"/>
        <w:rPr>
          <w:b/>
          <w:bCs/>
          <w:sz w:val="22"/>
          <w:szCs w:val="22"/>
        </w:rPr>
      </w:pPr>
    </w:p>
    <w:p w:rsidR="00561028" w:rsidRPr="00395638" w:rsidRDefault="00561028" w:rsidP="00561028">
      <w:pPr>
        <w:pStyle w:val="Szvegtrzs"/>
        <w:spacing w:after="0"/>
        <w:jc w:val="center"/>
        <w:rPr>
          <w:sz w:val="22"/>
          <w:szCs w:val="22"/>
        </w:rPr>
      </w:pPr>
      <w:r w:rsidRPr="00395638">
        <w:rPr>
          <w:sz w:val="22"/>
          <w:szCs w:val="22"/>
        </w:rPr>
        <w:t>2. §</w:t>
      </w:r>
    </w:p>
    <w:p w:rsidR="00561028" w:rsidRPr="00395638" w:rsidRDefault="00561028" w:rsidP="00561028">
      <w:pPr>
        <w:pStyle w:val="Szvegtrzs"/>
        <w:spacing w:after="0"/>
        <w:rPr>
          <w:sz w:val="22"/>
          <w:szCs w:val="22"/>
        </w:rPr>
      </w:pPr>
    </w:p>
    <w:p w:rsidR="00561028" w:rsidRPr="00395638" w:rsidRDefault="00561028" w:rsidP="00561028">
      <w:pPr>
        <w:pStyle w:val="Szvegtrzs"/>
        <w:spacing w:after="0"/>
        <w:jc w:val="both"/>
        <w:rPr>
          <w:sz w:val="22"/>
          <w:szCs w:val="22"/>
        </w:rPr>
      </w:pPr>
      <w:r w:rsidRPr="00395638">
        <w:rPr>
          <w:sz w:val="22"/>
          <w:szCs w:val="22"/>
        </w:rPr>
        <w:t>(1) Az ösztöndíj pályázat alapján adható, a pályázatokról bíráló bizottság dönt. A Bíráló Bizottság összetétele:</w:t>
      </w:r>
    </w:p>
    <w:p w:rsidR="00561028" w:rsidRPr="00395638" w:rsidRDefault="00561028" w:rsidP="00561028">
      <w:pPr>
        <w:pStyle w:val="Szvegtrzs"/>
        <w:numPr>
          <w:ilvl w:val="0"/>
          <w:numId w:val="2"/>
        </w:numPr>
        <w:spacing w:after="0"/>
        <w:rPr>
          <w:sz w:val="22"/>
          <w:szCs w:val="22"/>
        </w:rPr>
      </w:pPr>
      <w:r w:rsidRPr="00395638">
        <w:rPr>
          <w:sz w:val="22"/>
          <w:szCs w:val="22"/>
        </w:rPr>
        <w:t>az Egyetemi Doktori és Habilitációs Tanács (EDHT) elnöke</w:t>
      </w:r>
    </w:p>
    <w:p w:rsidR="00561028" w:rsidRDefault="00561028" w:rsidP="00561028">
      <w:pPr>
        <w:pStyle w:val="Szvegtrzs"/>
        <w:numPr>
          <w:ilvl w:val="0"/>
          <w:numId w:val="2"/>
        </w:numPr>
        <w:spacing w:after="0"/>
        <w:rPr>
          <w:sz w:val="22"/>
          <w:szCs w:val="22"/>
        </w:rPr>
      </w:pPr>
      <w:r w:rsidRPr="00395638">
        <w:rPr>
          <w:sz w:val="22"/>
          <w:szCs w:val="22"/>
        </w:rPr>
        <w:t xml:space="preserve">az elnök által </w:t>
      </w:r>
      <w:r>
        <w:rPr>
          <w:sz w:val="22"/>
          <w:szCs w:val="22"/>
        </w:rPr>
        <w:t>kijelölt</w:t>
      </w:r>
      <w:r w:rsidRPr="00395638">
        <w:rPr>
          <w:sz w:val="22"/>
          <w:szCs w:val="22"/>
        </w:rPr>
        <w:t xml:space="preserve"> két EDHT tag.</w:t>
      </w:r>
    </w:p>
    <w:p w:rsidR="00561028" w:rsidRPr="00395638" w:rsidRDefault="00561028" w:rsidP="00561028">
      <w:pPr>
        <w:pStyle w:val="Szvegtrzs"/>
        <w:spacing w:after="0"/>
        <w:ind w:left="720"/>
        <w:rPr>
          <w:sz w:val="22"/>
          <w:szCs w:val="22"/>
        </w:rPr>
      </w:pPr>
    </w:p>
    <w:p w:rsidR="00561028" w:rsidRDefault="00561028" w:rsidP="00561028">
      <w:pPr>
        <w:pStyle w:val="Szvegtrzs"/>
        <w:spacing w:after="0"/>
        <w:jc w:val="both"/>
        <w:rPr>
          <w:sz w:val="22"/>
          <w:szCs w:val="22"/>
        </w:rPr>
      </w:pPr>
      <w:r w:rsidRPr="00F9083B">
        <w:rPr>
          <w:sz w:val="22"/>
          <w:szCs w:val="22"/>
        </w:rPr>
        <w:t>(2) A Bíráló Bizottság titkos szavazással dönt az ösztöndíj odaítéléséről. A Bíráló Bizottság a részeredményeket bizalmasan kezeli.</w:t>
      </w:r>
    </w:p>
    <w:p w:rsidR="00561028" w:rsidRDefault="00561028" w:rsidP="00561028">
      <w:pPr>
        <w:pStyle w:val="Szvegtrzs"/>
        <w:spacing w:after="0"/>
        <w:jc w:val="both"/>
        <w:rPr>
          <w:sz w:val="22"/>
          <w:szCs w:val="22"/>
        </w:rPr>
      </w:pPr>
    </w:p>
    <w:p w:rsidR="00561028" w:rsidRPr="00826D29" w:rsidRDefault="00561028" w:rsidP="00561028">
      <w:pPr>
        <w:pStyle w:val="Szvegtrzs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(3) A Bíráló Bizottság az ösztöndíj odaítélésénél és az ösztöndíj összegének megállapításánál</w:t>
      </w:r>
      <w:r w:rsidRPr="00826D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az </w:t>
      </w:r>
      <w:r w:rsidRPr="00826D29">
        <w:rPr>
          <w:sz w:val="22"/>
          <w:szCs w:val="22"/>
        </w:rPr>
        <w:t>oktatók</w:t>
      </w:r>
      <w:r>
        <w:rPr>
          <w:sz w:val="22"/>
          <w:szCs w:val="22"/>
        </w:rPr>
        <w:t>, illetve doktorjelöltek</w:t>
      </w:r>
      <w:r w:rsidRPr="00826D29">
        <w:rPr>
          <w:sz w:val="22"/>
          <w:szCs w:val="22"/>
        </w:rPr>
        <w:t xml:space="preserve"> vonatkozásában </w:t>
      </w:r>
      <w:r>
        <w:rPr>
          <w:sz w:val="22"/>
          <w:szCs w:val="22"/>
        </w:rPr>
        <w:t>értékeli különösen az alábbi körülményeket</w:t>
      </w:r>
      <w:r w:rsidRPr="00826D29">
        <w:rPr>
          <w:sz w:val="22"/>
          <w:szCs w:val="22"/>
        </w:rPr>
        <w:t xml:space="preserve">: </w:t>
      </w:r>
    </w:p>
    <w:p w:rsidR="00561028" w:rsidRPr="00826D29" w:rsidRDefault="00561028" w:rsidP="00561028">
      <w:pPr>
        <w:pStyle w:val="Szvegtrzs"/>
        <w:spacing w:after="0"/>
        <w:jc w:val="both"/>
        <w:rPr>
          <w:sz w:val="22"/>
          <w:szCs w:val="22"/>
        </w:rPr>
      </w:pPr>
    </w:p>
    <w:p w:rsidR="00561028" w:rsidRPr="00826D29" w:rsidRDefault="00561028" w:rsidP="00561028">
      <w:pPr>
        <w:pStyle w:val="Szvegtrzs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826D29">
        <w:rPr>
          <w:sz w:val="22"/>
          <w:szCs w:val="22"/>
        </w:rPr>
        <w:t>tudományos munka, publikációs tevékenység mértéke</w:t>
      </w:r>
      <w:r>
        <w:rPr>
          <w:sz w:val="22"/>
          <w:szCs w:val="22"/>
        </w:rPr>
        <w:t>,</w:t>
      </w:r>
    </w:p>
    <w:p w:rsidR="00561028" w:rsidRPr="00826D29" w:rsidRDefault="00561028" w:rsidP="00561028">
      <w:pPr>
        <w:pStyle w:val="Szvegtrzs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826D29">
        <w:rPr>
          <w:sz w:val="22"/>
          <w:szCs w:val="22"/>
        </w:rPr>
        <w:t>szakterületéhez kapcsolódó termelési gyakorlattal való kapcsolattartás mértéke,</w:t>
      </w:r>
    </w:p>
    <w:p w:rsidR="00561028" w:rsidRPr="00826D29" w:rsidRDefault="00561028" w:rsidP="00561028">
      <w:pPr>
        <w:pStyle w:val="Szvegtrzs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826D29">
        <w:rPr>
          <w:sz w:val="22"/>
          <w:szCs w:val="22"/>
        </w:rPr>
        <w:t xml:space="preserve">hazai és külföldi szakmai tanácskozásokon, </w:t>
      </w:r>
      <w:proofErr w:type="gramStart"/>
      <w:r w:rsidRPr="00826D29">
        <w:rPr>
          <w:sz w:val="22"/>
          <w:szCs w:val="22"/>
        </w:rPr>
        <w:t>k</w:t>
      </w:r>
      <w:r>
        <w:rPr>
          <w:sz w:val="22"/>
          <w:szCs w:val="22"/>
        </w:rPr>
        <w:t>onferenciákon</w:t>
      </w:r>
      <w:proofErr w:type="gramEnd"/>
      <w:r>
        <w:rPr>
          <w:sz w:val="22"/>
          <w:szCs w:val="22"/>
        </w:rPr>
        <w:t xml:space="preserve"> részvétel mértéke,</w:t>
      </w:r>
    </w:p>
    <w:p w:rsidR="00561028" w:rsidRPr="00826D29" w:rsidRDefault="00561028" w:rsidP="00561028">
      <w:pPr>
        <w:pStyle w:val="Szvegtrzs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826D29">
        <w:rPr>
          <w:sz w:val="22"/>
          <w:szCs w:val="22"/>
        </w:rPr>
        <w:t>egyetemi (kari) közéletben részvétel mértéke,</w:t>
      </w:r>
    </w:p>
    <w:p w:rsidR="00561028" w:rsidRPr="00826D29" w:rsidRDefault="00561028" w:rsidP="00561028">
      <w:pPr>
        <w:pStyle w:val="Szvegtrzs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826D29">
        <w:rPr>
          <w:sz w:val="22"/>
          <w:szCs w:val="22"/>
        </w:rPr>
        <w:t>országos, illetve nemzetközi szakmai-közéleti tevékenység mértéke,</w:t>
      </w:r>
    </w:p>
    <w:p w:rsidR="00561028" w:rsidRPr="00826D29" w:rsidRDefault="00561028" w:rsidP="00561028">
      <w:pPr>
        <w:pStyle w:val="Szvegtrzs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826D29">
        <w:rPr>
          <w:sz w:val="22"/>
          <w:szCs w:val="22"/>
        </w:rPr>
        <w:t>tantárgyi programok és tematikák kidolgozásában és fejlesztésében való tevékenység mértéke,</w:t>
      </w:r>
    </w:p>
    <w:p w:rsidR="00561028" w:rsidRPr="00826D29" w:rsidRDefault="00561028" w:rsidP="00561028">
      <w:pPr>
        <w:pStyle w:val="Szvegtrzs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826D29">
        <w:rPr>
          <w:sz w:val="22"/>
          <w:szCs w:val="22"/>
        </w:rPr>
        <w:t>előadások, szemináriumok, gyakorlatok és speciálkollégiumok tartásával kapcsolatos tevékenység mértéke,</w:t>
      </w:r>
    </w:p>
    <w:p w:rsidR="00561028" w:rsidRPr="00826D29" w:rsidRDefault="00561028" w:rsidP="00561028">
      <w:pPr>
        <w:pStyle w:val="Szvegtrzs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826D29">
        <w:rPr>
          <w:sz w:val="22"/>
          <w:szCs w:val="22"/>
        </w:rPr>
        <w:t>idegen nyelvű előadásokkal kapcsolatos feladatok,</w:t>
      </w:r>
    </w:p>
    <w:p w:rsidR="00561028" w:rsidRPr="00826D29" w:rsidRDefault="00561028" w:rsidP="00561028">
      <w:pPr>
        <w:pStyle w:val="Szvegtrzs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826D29">
        <w:rPr>
          <w:sz w:val="22"/>
          <w:szCs w:val="22"/>
        </w:rPr>
        <w:t>vizsgáztatással kapcsolatos feladatok,</w:t>
      </w:r>
    </w:p>
    <w:p w:rsidR="00561028" w:rsidRPr="00826D29" w:rsidRDefault="00561028" w:rsidP="00561028">
      <w:pPr>
        <w:pStyle w:val="Szvegtrzs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826D29">
        <w:rPr>
          <w:sz w:val="22"/>
          <w:szCs w:val="22"/>
        </w:rPr>
        <w:t>tankönyvek, jegyzetek, oktatási segédanyagok előállításával kapcsolatos feladatok,</w:t>
      </w:r>
    </w:p>
    <w:p w:rsidR="00561028" w:rsidRPr="00826D29" w:rsidRDefault="00561028" w:rsidP="00561028">
      <w:pPr>
        <w:pStyle w:val="Szvegtrzs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826D29">
        <w:rPr>
          <w:sz w:val="22"/>
          <w:szCs w:val="22"/>
        </w:rPr>
        <w:t>tudományos diákkörösök, évfolyamdolgozatot, illetve diplomamunkát készítő hallgatók m</w:t>
      </w:r>
      <w:r>
        <w:rPr>
          <w:sz w:val="22"/>
          <w:szCs w:val="22"/>
        </w:rPr>
        <w:t>unkájával kapcsolatos feladatok.</w:t>
      </w:r>
    </w:p>
    <w:p w:rsidR="00561028" w:rsidRPr="00826D29" w:rsidRDefault="00561028" w:rsidP="00561028">
      <w:pPr>
        <w:pStyle w:val="Szvegtrzs"/>
        <w:spacing w:after="0"/>
        <w:jc w:val="both"/>
        <w:rPr>
          <w:sz w:val="22"/>
          <w:szCs w:val="22"/>
        </w:rPr>
      </w:pPr>
    </w:p>
    <w:p w:rsidR="00561028" w:rsidRPr="00826D29" w:rsidRDefault="00561028" w:rsidP="00561028">
      <w:pPr>
        <w:pStyle w:val="Szvegtrzs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(4</w:t>
      </w:r>
      <w:r w:rsidRPr="00826D29">
        <w:rPr>
          <w:sz w:val="22"/>
          <w:szCs w:val="22"/>
        </w:rPr>
        <w:t>)</w:t>
      </w:r>
      <w:r w:rsidRPr="00826D29">
        <w:rPr>
          <w:sz w:val="22"/>
          <w:szCs w:val="22"/>
        </w:rPr>
        <w:tab/>
      </w:r>
      <w:r>
        <w:rPr>
          <w:sz w:val="22"/>
          <w:szCs w:val="22"/>
        </w:rPr>
        <w:t>A Bíráló Bizottság az ösztöndíj odaítélésénél és az ösztöndíj összegének megállapításánál</w:t>
      </w:r>
      <w:r w:rsidRPr="00826D29">
        <w:rPr>
          <w:sz w:val="22"/>
          <w:szCs w:val="22"/>
        </w:rPr>
        <w:t xml:space="preserve"> </w:t>
      </w:r>
      <w:r>
        <w:rPr>
          <w:sz w:val="22"/>
          <w:szCs w:val="22"/>
        </w:rPr>
        <w:t>az kutat</w:t>
      </w:r>
      <w:r w:rsidRPr="00826D29">
        <w:rPr>
          <w:sz w:val="22"/>
          <w:szCs w:val="22"/>
        </w:rPr>
        <w:t xml:space="preserve">ók vonatkozásában </w:t>
      </w:r>
      <w:r>
        <w:rPr>
          <w:sz w:val="22"/>
          <w:szCs w:val="22"/>
        </w:rPr>
        <w:t>értékeli különösen az alábbi körülményeket</w:t>
      </w:r>
      <w:r w:rsidRPr="00826D29">
        <w:rPr>
          <w:sz w:val="22"/>
          <w:szCs w:val="22"/>
        </w:rPr>
        <w:t>:</w:t>
      </w:r>
    </w:p>
    <w:p w:rsidR="00561028" w:rsidRPr="00826D29" w:rsidRDefault="00561028" w:rsidP="00561028">
      <w:pPr>
        <w:pStyle w:val="Szvegtrzs"/>
        <w:spacing w:after="0"/>
        <w:jc w:val="both"/>
        <w:rPr>
          <w:sz w:val="22"/>
          <w:szCs w:val="22"/>
        </w:rPr>
      </w:pPr>
    </w:p>
    <w:p w:rsidR="00561028" w:rsidRDefault="00561028" w:rsidP="00561028">
      <w:pPr>
        <w:pStyle w:val="Szvegtrzs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826D29">
        <w:rPr>
          <w:sz w:val="22"/>
          <w:szCs w:val="22"/>
        </w:rPr>
        <w:lastRenderedPageBreak/>
        <w:t xml:space="preserve">kutatómunka színvonala, </w:t>
      </w:r>
    </w:p>
    <w:p w:rsidR="00561028" w:rsidRPr="00826D29" w:rsidRDefault="00561028" w:rsidP="00561028">
      <w:pPr>
        <w:pStyle w:val="Szvegtrzs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826D29">
        <w:rPr>
          <w:sz w:val="22"/>
          <w:szCs w:val="22"/>
        </w:rPr>
        <w:t>újszerű kutatási módszerek alkalmazása,</w:t>
      </w:r>
    </w:p>
    <w:p w:rsidR="00561028" w:rsidRPr="00826D29" w:rsidRDefault="00561028" w:rsidP="00561028">
      <w:pPr>
        <w:pStyle w:val="Szvegtrzs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826D29">
        <w:rPr>
          <w:sz w:val="22"/>
          <w:szCs w:val="22"/>
        </w:rPr>
        <w:t>idegen-nyelv ismeret,</w:t>
      </w:r>
    </w:p>
    <w:p w:rsidR="00561028" w:rsidRPr="00826D29" w:rsidRDefault="00561028" w:rsidP="00561028">
      <w:pPr>
        <w:pStyle w:val="Szvegtrzs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826D29">
        <w:rPr>
          <w:sz w:val="22"/>
          <w:szCs w:val="22"/>
        </w:rPr>
        <w:t>közreműködés mértéke a tudományos ismeretek terjesztésében, valamint más kutatóhelyekkel, egyetemekkel és gazdasági szervezetekkel a szakmai-tudományos kapcsolatok kiépítésében és ápolásában,</w:t>
      </w:r>
    </w:p>
    <w:p w:rsidR="00561028" w:rsidRDefault="00561028" w:rsidP="00561028">
      <w:pPr>
        <w:pStyle w:val="Szvegtrzs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826D29">
        <w:rPr>
          <w:sz w:val="22"/>
          <w:szCs w:val="22"/>
        </w:rPr>
        <w:t xml:space="preserve">az egyetemi (főiskolai), alap, és </w:t>
      </w:r>
      <w:proofErr w:type="spellStart"/>
      <w:r w:rsidRPr="00826D29">
        <w:rPr>
          <w:sz w:val="22"/>
          <w:szCs w:val="22"/>
        </w:rPr>
        <w:t>MSc</w:t>
      </w:r>
      <w:proofErr w:type="spellEnd"/>
      <w:r w:rsidRPr="00826D29">
        <w:rPr>
          <w:sz w:val="22"/>
          <w:szCs w:val="22"/>
        </w:rPr>
        <w:t xml:space="preserve"> képzésben, a tudományos diákköri munka szakmai irányításában való részvétel mértéke.</w:t>
      </w:r>
    </w:p>
    <w:p w:rsidR="00561028" w:rsidRPr="00395638" w:rsidRDefault="00561028" w:rsidP="00561028">
      <w:pPr>
        <w:pStyle w:val="Szvegtrzs"/>
        <w:spacing w:after="0"/>
        <w:ind w:left="720"/>
        <w:jc w:val="both"/>
        <w:rPr>
          <w:sz w:val="22"/>
          <w:szCs w:val="22"/>
        </w:rPr>
      </w:pPr>
    </w:p>
    <w:p w:rsidR="00561028" w:rsidRPr="00395638" w:rsidRDefault="00561028" w:rsidP="00561028">
      <w:pPr>
        <w:pStyle w:val="Szvegtrzs"/>
        <w:spacing w:after="0"/>
        <w:jc w:val="center"/>
        <w:rPr>
          <w:bCs/>
          <w:sz w:val="22"/>
          <w:szCs w:val="22"/>
        </w:rPr>
      </w:pPr>
      <w:r w:rsidRPr="00395638">
        <w:rPr>
          <w:bCs/>
          <w:sz w:val="22"/>
          <w:szCs w:val="22"/>
        </w:rPr>
        <w:t>3. §</w:t>
      </w:r>
    </w:p>
    <w:p w:rsidR="00561028" w:rsidRPr="00395638" w:rsidRDefault="00561028" w:rsidP="00561028">
      <w:pPr>
        <w:pStyle w:val="Szvegtrzs"/>
        <w:spacing w:after="0"/>
        <w:jc w:val="center"/>
        <w:rPr>
          <w:b/>
          <w:bCs/>
          <w:sz w:val="22"/>
          <w:szCs w:val="22"/>
        </w:rPr>
      </w:pPr>
    </w:p>
    <w:p w:rsidR="00561028" w:rsidRDefault="00561028" w:rsidP="00561028">
      <w:pPr>
        <w:pStyle w:val="Szvegtrzs"/>
        <w:spacing w:after="0"/>
        <w:jc w:val="both"/>
        <w:rPr>
          <w:sz w:val="22"/>
          <w:szCs w:val="22"/>
        </w:rPr>
      </w:pPr>
      <w:r w:rsidRPr="00395638">
        <w:rPr>
          <w:sz w:val="22"/>
          <w:szCs w:val="22"/>
        </w:rPr>
        <w:t>(1)</w:t>
      </w:r>
      <w:r>
        <w:rPr>
          <w:sz w:val="22"/>
          <w:szCs w:val="22"/>
        </w:rPr>
        <w:t xml:space="preserve"> </w:t>
      </w:r>
      <w:r w:rsidRPr="00395638">
        <w:rPr>
          <w:sz w:val="22"/>
          <w:szCs w:val="22"/>
        </w:rPr>
        <w:t xml:space="preserve">A </w:t>
      </w:r>
      <w:r w:rsidRPr="005E5E58">
        <w:rPr>
          <w:sz w:val="22"/>
          <w:szCs w:val="22"/>
        </w:rPr>
        <w:t xml:space="preserve">Kocsis Károly Ösztöndíj összege maximum </w:t>
      </w:r>
      <w:r w:rsidRPr="002D5B54">
        <w:rPr>
          <w:b/>
          <w:sz w:val="22"/>
          <w:szCs w:val="22"/>
        </w:rPr>
        <w:t>95.000,- Ft/hónap</w:t>
      </w:r>
      <w:r w:rsidRPr="005E5E58">
        <w:rPr>
          <w:sz w:val="22"/>
          <w:szCs w:val="22"/>
        </w:rPr>
        <w:t xml:space="preserve"> a jogviszonytól függően.</w:t>
      </w:r>
    </w:p>
    <w:p w:rsidR="00561028" w:rsidRDefault="00561028" w:rsidP="00561028">
      <w:pPr>
        <w:pStyle w:val="Szvegtrzs"/>
        <w:spacing w:after="0"/>
        <w:jc w:val="both"/>
        <w:rPr>
          <w:sz w:val="22"/>
          <w:szCs w:val="22"/>
        </w:rPr>
      </w:pPr>
    </w:p>
    <w:p w:rsidR="00561028" w:rsidRPr="00395638" w:rsidRDefault="00561028" w:rsidP="00561028">
      <w:pPr>
        <w:pStyle w:val="Szvegtrzs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A </w:t>
      </w:r>
      <w:r w:rsidRPr="00395638">
        <w:rPr>
          <w:sz w:val="22"/>
          <w:szCs w:val="22"/>
        </w:rPr>
        <w:t xml:space="preserve">Kocsis Károly Ösztöndíjat </w:t>
      </w:r>
      <w:r>
        <w:rPr>
          <w:sz w:val="22"/>
          <w:szCs w:val="22"/>
        </w:rPr>
        <w:t>egy tanév időtartamára előre kell megállapítani és az intézményben szokásos módon közzé kell tenni.</w:t>
      </w:r>
    </w:p>
    <w:p w:rsidR="00561028" w:rsidRPr="00395638" w:rsidRDefault="00561028" w:rsidP="00561028">
      <w:pPr>
        <w:spacing w:line="240" w:lineRule="auto"/>
        <w:jc w:val="both"/>
      </w:pPr>
    </w:p>
    <w:p w:rsidR="00561028" w:rsidRPr="00395638" w:rsidRDefault="00561028" w:rsidP="00561028">
      <w:pPr>
        <w:spacing w:line="240" w:lineRule="auto"/>
        <w:jc w:val="center"/>
      </w:pPr>
      <w:r w:rsidRPr="00395638">
        <w:t>4. §</w:t>
      </w:r>
    </w:p>
    <w:p w:rsidR="00561028" w:rsidRPr="00395638" w:rsidRDefault="00561028" w:rsidP="00561028">
      <w:pPr>
        <w:spacing w:line="240" w:lineRule="auto"/>
        <w:jc w:val="center"/>
      </w:pPr>
    </w:p>
    <w:p w:rsidR="00561028" w:rsidRDefault="00561028" w:rsidP="00561028">
      <w:pPr>
        <w:spacing w:line="240" w:lineRule="auto"/>
        <w:jc w:val="both"/>
      </w:pPr>
      <w:r w:rsidRPr="00395638">
        <w:t xml:space="preserve">(1) </w:t>
      </w:r>
      <w:bookmarkStart w:id="9" w:name="pr1641"/>
      <w:r>
        <w:t xml:space="preserve">A felsőoktatási intézmény a </w:t>
      </w:r>
      <w:r w:rsidRPr="005E5E58">
        <w:t>Kocsis Károly Ösztöndíjat elnyert fiatal oktatóknak és kutatóknak</w:t>
      </w:r>
      <w:r>
        <w:t xml:space="preserve"> havi rendszerességgel folyósítja az ösztöndíjat, azt a tanulmányi félév első hónapjának kivételével legkésőbb a tárgyhó 10. napjáig a számlavezető hitelintézet felé átutalja.</w:t>
      </w:r>
    </w:p>
    <w:bookmarkEnd w:id="9"/>
    <w:p w:rsidR="00561028" w:rsidRPr="00395638" w:rsidRDefault="00561028" w:rsidP="00561028">
      <w:pPr>
        <w:spacing w:line="240" w:lineRule="auto"/>
        <w:jc w:val="both"/>
      </w:pPr>
    </w:p>
    <w:p w:rsidR="00561028" w:rsidRPr="00395638" w:rsidRDefault="00561028" w:rsidP="00561028">
      <w:pPr>
        <w:spacing w:line="240" w:lineRule="auto"/>
        <w:jc w:val="center"/>
        <w:rPr>
          <w:bCs/>
        </w:rPr>
      </w:pPr>
      <w:r>
        <w:rPr>
          <w:bCs/>
        </w:rPr>
        <w:t>5</w:t>
      </w:r>
      <w:r w:rsidRPr="00395638">
        <w:rPr>
          <w:bCs/>
        </w:rPr>
        <w:t>. §</w:t>
      </w:r>
    </w:p>
    <w:p w:rsidR="00561028" w:rsidRPr="00395638" w:rsidRDefault="00561028" w:rsidP="00561028">
      <w:pPr>
        <w:spacing w:line="240" w:lineRule="auto"/>
        <w:jc w:val="center"/>
        <w:rPr>
          <w:b/>
          <w:bCs/>
        </w:rPr>
      </w:pPr>
    </w:p>
    <w:p w:rsidR="00561028" w:rsidRPr="00395638" w:rsidRDefault="00561028" w:rsidP="00561028">
      <w:pPr>
        <w:spacing w:line="240" w:lineRule="auto"/>
        <w:jc w:val="center"/>
        <w:rPr>
          <w:b/>
          <w:bCs/>
        </w:rPr>
      </w:pPr>
    </w:p>
    <w:p w:rsidR="00561028" w:rsidRPr="00395638" w:rsidRDefault="00561028" w:rsidP="00561028">
      <w:pPr>
        <w:pStyle w:val="Szvegtrzs"/>
        <w:spacing w:after="0"/>
        <w:jc w:val="both"/>
        <w:rPr>
          <w:sz w:val="22"/>
          <w:szCs w:val="22"/>
        </w:rPr>
      </w:pPr>
      <w:r w:rsidRPr="00395638">
        <w:rPr>
          <w:sz w:val="22"/>
          <w:szCs w:val="22"/>
        </w:rPr>
        <w:t xml:space="preserve">(1) A jelen szabályzat az </w:t>
      </w:r>
      <w:r w:rsidRPr="00175A27">
        <w:rPr>
          <w:sz w:val="22"/>
          <w:szCs w:val="22"/>
        </w:rPr>
        <w:t>Egyetemi Szenátus jóváhagyását</w:t>
      </w:r>
      <w:r w:rsidRPr="00395638">
        <w:rPr>
          <w:sz w:val="22"/>
          <w:szCs w:val="22"/>
        </w:rPr>
        <w:t xml:space="preserve"> követően a kibocsátás napján lép hatályba. </w:t>
      </w:r>
    </w:p>
    <w:p w:rsidR="00561028" w:rsidRPr="00395638" w:rsidRDefault="00561028" w:rsidP="00561028">
      <w:pPr>
        <w:spacing w:line="240" w:lineRule="auto"/>
        <w:jc w:val="both"/>
      </w:pPr>
    </w:p>
    <w:p w:rsidR="00561028" w:rsidRPr="00395638" w:rsidRDefault="00561028" w:rsidP="00561028">
      <w:pPr>
        <w:spacing w:line="240" w:lineRule="auto"/>
        <w:jc w:val="both"/>
      </w:pPr>
    </w:p>
    <w:p w:rsidR="00561028" w:rsidRPr="00395638" w:rsidRDefault="00561028" w:rsidP="00561028">
      <w:pPr>
        <w:spacing w:line="240" w:lineRule="auto"/>
        <w:jc w:val="both"/>
      </w:pPr>
    </w:p>
    <w:p w:rsidR="00561028" w:rsidRPr="00395638" w:rsidRDefault="00561028" w:rsidP="00561028">
      <w:pPr>
        <w:spacing w:line="240" w:lineRule="auto"/>
        <w:jc w:val="center"/>
        <w:rPr>
          <w:b/>
        </w:rPr>
      </w:pPr>
      <w:r w:rsidRPr="00395638">
        <w:rPr>
          <w:b/>
        </w:rPr>
        <w:t>ZÁRADÉK</w:t>
      </w:r>
    </w:p>
    <w:p w:rsidR="00561028" w:rsidRPr="00395638" w:rsidRDefault="00561028" w:rsidP="00561028">
      <w:pPr>
        <w:spacing w:line="240" w:lineRule="auto"/>
        <w:jc w:val="center"/>
      </w:pPr>
    </w:p>
    <w:p w:rsidR="00561028" w:rsidRPr="00397CFD" w:rsidRDefault="00561028" w:rsidP="00561028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95638">
        <w:t xml:space="preserve">Jelen szabályzatot a Szent István Egyetem Szenátusa </w:t>
      </w:r>
      <w:r w:rsidRPr="00965518">
        <w:t xml:space="preserve">2011. </w:t>
      </w:r>
      <w:r>
        <w:t>szeptember 22.</w:t>
      </w:r>
      <w:r w:rsidRPr="00395638">
        <w:t xml:space="preserve"> napján</w:t>
      </w:r>
      <w:r>
        <w:rPr>
          <w:b/>
          <w:bCs/>
        </w:rPr>
        <w:t xml:space="preserve"> </w:t>
      </w:r>
      <w:r w:rsidRPr="00397CFD">
        <w:rPr>
          <w:b/>
          <w:bCs/>
        </w:rPr>
        <w:t xml:space="preserve">15/2011/2012 </w:t>
      </w:r>
      <w:r w:rsidRPr="00397CFD">
        <w:rPr>
          <w:b/>
        </w:rPr>
        <w:t>SZT</w:t>
      </w:r>
      <w:r w:rsidRPr="00395638">
        <w:t xml:space="preserve"> szá</w:t>
      </w:r>
      <w:r>
        <w:t xml:space="preserve">mú határozatával </w:t>
      </w:r>
      <w:r w:rsidRPr="00175A27">
        <w:t>az Egyetemi Szervezeti és Működési Szabályzat mellékletét képező Foglalkoztatási Követelményrendszer</w:t>
      </w:r>
      <w:r>
        <w:t xml:space="preserve"> 1. sz. függelékeként,</w:t>
      </w:r>
      <w:r w:rsidRPr="00175A27">
        <w:t xml:space="preserve"> továbbá a</w:t>
      </w:r>
      <w:r>
        <w:t>z</w:t>
      </w:r>
      <w:r w:rsidRPr="00175A27">
        <w:t xml:space="preserve"> Egyetemi Szervezeti és Működési Szabályzat mellékletét képező Hallgatói Té</w:t>
      </w:r>
      <w:r>
        <w:t>rítési és Juttatási Szabályzat</w:t>
      </w:r>
      <w:r w:rsidRPr="00175A27">
        <w:t xml:space="preserve"> </w:t>
      </w:r>
      <w:r>
        <w:t>1. sz. függelékeként elfogadta</w:t>
      </w:r>
      <w:r w:rsidRPr="00395638">
        <w:t>.</w:t>
      </w:r>
    </w:p>
    <w:p w:rsidR="00561028" w:rsidRPr="00395638" w:rsidRDefault="00561028" w:rsidP="00561028">
      <w:pPr>
        <w:spacing w:line="240" w:lineRule="auto"/>
        <w:jc w:val="both"/>
      </w:pPr>
    </w:p>
    <w:p w:rsidR="00561028" w:rsidRPr="00264EB3" w:rsidRDefault="00561028" w:rsidP="00561028">
      <w:pPr>
        <w:pStyle w:val="Cmsor5"/>
        <w:spacing w:before="0" w:after="0"/>
        <w:rPr>
          <w:b w:val="0"/>
          <w:i w:val="0"/>
          <w:strike/>
          <w:sz w:val="22"/>
          <w:szCs w:val="22"/>
          <w:lang w:eastAsia="x-none"/>
        </w:rPr>
      </w:pPr>
      <w:r>
        <w:rPr>
          <w:b w:val="0"/>
          <w:i w:val="0"/>
          <w:sz w:val="22"/>
          <w:szCs w:val="22"/>
        </w:rPr>
        <w:t>Gödöllő, 201</w:t>
      </w:r>
      <w:r>
        <w:rPr>
          <w:b w:val="0"/>
          <w:i w:val="0"/>
          <w:sz w:val="22"/>
          <w:szCs w:val="22"/>
          <w:lang w:eastAsia="x-none"/>
        </w:rPr>
        <w:t>7</w:t>
      </w:r>
      <w:r w:rsidRPr="00AD70F5">
        <w:rPr>
          <w:b w:val="0"/>
          <w:i w:val="0"/>
          <w:sz w:val="22"/>
          <w:szCs w:val="22"/>
          <w:lang w:eastAsia="x-none"/>
        </w:rPr>
        <w:t xml:space="preserve">. </w:t>
      </w:r>
      <w:r>
        <w:rPr>
          <w:b w:val="0"/>
          <w:i w:val="0"/>
          <w:sz w:val="22"/>
          <w:szCs w:val="22"/>
          <w:lang w:eastAsia="x-none"/>
        </w:rPr>
        <w:t>február</w:t>
      </w:r>
    </w:p>
    <w:p w:rsidR="00561028" w:rsidRDefault="00561028" w:rsidP="00561028">
      <w:pPr>
        <w:spacing w:line="240" w:lineRule="auto"/>
        <w:jc w:val="center"/>
      </w:pPr>
    </w:p>
    <w:p w:rsidR="00561028" w:rsidRPr="00395638" w:rsidRDefault="00561028" w:rsidP="00561028">
      <w:pPr>
        <w:spacing w:line="240" w:lineRule="auto"/>
        <w:jc w:val="center"/>
      </w:pPr>
    </w:p>
    <w:p w:rsidR="00561028" w:rsidRPr="00395638" w:rsidRDefault="00561028" w:rsidP="00561028">
      <w:pPr>
        <w:spacing w:line="240" w:lineRule="auto"/>
        <w:jc w:val="center"/>
      </w:pPr>
      <w:r w:rsidRPr="00395638">
        <w:t>Az Egyetemi Szenátus nevében</w:t>
      </w:r>
    </w:p>
    <w:p w:rsidR="00561028" w:rsidRDefault="00561028" w:rsidP="00561028">
      <w:pPr>
        <w:spacing w:line="240" w:lineRule="auto"/>
        <w:jc w:val="both"/>
      </w:pPr>
    </w:p>
    <w:p w:rsidR="00561028" w:rsidRDefault="00561028" w:rsidP="00561028">
      <w:pPr>
        <w:spacing w:line="240" w:lineRule="auto"/>
        <w:jc w:val="both"/>
      </w:pPr>
    </w:p>
    <w:p w:rsidR="00561028" w:rsidRDefault="00561028" w:rsidP="00561028">
      <w:pPr>
        <w:spacing w:line="240" w:lineRule="auto"/>
        <w:jc w:val="both"/>
      </w:pPr>
    </w:p>
    <w:p w:rsidR="00561028" w:rsidRPr="00395638" w:rsidRDefault="00561028" w:rsidP="00561028">
      <w:pPr>
        <w:spacing w:line="240" w:lineRule="auto"/>
        <w:jc w:val="both"/>
      </w:pPr>
    </w:p>
    <w:p w:rsidR="00561028" w:rsidRPr="00395638" w:rsidRDefault="00561028" w:rsidP="00561028">
      <w:pPr>
        <w:tabs>
          <w:tab w:val="center" w:pos="2520"/>
          <w:tab w:val="center" w:pos="7200"/>
        </w:tabs>
        <w:spacing w:line="240" w:lineRule="auto"/>
        <w:jc w:val="center"/>
      </w:pPr>
      <w:r w:rsidRPr="00395638">
        <w:t>………………………………….</w:t>
      </w:r>
    </w:p>
    <w:p w:rsidR="00561028" w:rsidRDefault="00561028" w:rsidP="00561028">
      <w:pPr>
        <w:tabs>
          <w:tab w:val="center" w:pos="2520"/>
          <w:tab w:val="center" w:pos="7200"/>
        </w:tabs>
        <w:spacing w:line="240" w:lineRule="auto"/>
        <w:jc w:val="center"/>
      </w:pPr>
      <w:r>
        <w:t>Dr. Tőzsér János</w:t>
      </w:r>
    </w:p>
    <w:p w:rsidR="00561028" w:rsidRPr="00395638" w:rsidRDefault="00561028" w:rsidP="00561028">
      <w:pPr>
        <w:tabs>
          <w:tab w:val="center" w:pos="2520"/>
          <w:tab w:val="center" w:pos="7200"/>
        </w:tabs>
        <w:spacing w:line="240" w:lineRule="auto"/>
        <w:jc w:val="center"/>
      </w:pPr>
      <w:proofErr w:type="gramStart"/>
      <w:r>
        <w:t>rektor</w:t>
      </w:r>
      <w:proofErr w:type="gramEnd"/>
    </w:p>
    <w:p w:rsidR="00561028" w:rsidRDefault="00561028" w:rsidP="00561028">
      <w:pPr>
        <w:spacing w:line="240" w:lineRule="auto"/>
        <w:jc w:val="both"/>
      </w:pPr>
    </w:p>
    <w:p w:rsidR="00561028" w:rsidRDefault="00561028" w:rsidP="00561028">
      <w:pPr>
        <w:spacing w:line="240" w:lineRule="auto"/>
        <w:jc w:val="both"/>
      </w:pPr>
    </w:p>
    <w:p w:rsidR="00561028" w:rsidRDefault="00561028" w:rsidP="00561028">
      <w:pPr>
        <w:spacing w:line="240" w:lineRule="auto"/>
        <w:jc w:val="both"/>
      </w:pPr>
    </w:p>
    <w:p w:rsidR="00561028" w:rsidRDefault="00561028" w:rsidP="00561028">
      <w:pPr>
        <w:spacing w:line="240" w:lineRule="auto"/>
        <w:jc w:val="both"/>
      </w:pPr>
    </w:p>
    <w:p w:rsidR="00561028" w:rsidRPr="00395638" w:rsidRDefault="00561028" w:rsidP="00561028">
      <w:pPr>
        <w:spacing w:line="240" w:lineRule="auto"/>
        <w:jc w:val="both"/>
      </w:pPr>
    </w:p>
    <w:p w:rsidR="00561028" w:rsidRPr="00395638" w:rsidRDefault="00561028" w:rsidP="00561028">
      <w:pPr>
        <w:tabs>
          <w:tab w:val="center" w:pos="2520"/>
          <w:tab w:val="center" w:pos="7200"/>
        </w:tabs>
        <w:spacing w:line="240" w:lineRule="auto"/>
        <w:jc w:val="center"/>
      </w:pPr>
      <w:r w:rsidRPr="00395638">
        <w:t>………………………………….</w:t>
      </w:r>
    </w:p>
    <w:p w:rsidR="00561028" w:rsidRDefault="00561028" w:rsidP="00561028">
      <w:pPr>
        <w:tabs>
          <w:tab w:val="center" w:pos="2520"/>
          <w:tab w:val="center" w:pos="7200"/>
        </w:tabs>
        <w:spacing w:line="240" w:lineRule="auto"/>
        <w:jc w:val="center"/>
      </w:pPr>
      <w:r>
        <w:t>Magyar Ferenc</w:t>
      </w:r>
    </w:p>
    <w:p w:rsidR="00561028" w:rsidRPr="00AD70F5" w:rsidRDefault="00561028" w:rsidP="00561028">
      <w:pPr>
        <w:tabs>
          <w:tab w:val="center" w:pos="2520"/>
          <w:tab w:val="center" w:pos="7200"/>
        </w:tabs>
        <w:spacing w:line="240" w:lineRule="auto"/>
        <w:jc w:val="center"/>
      </w:pPr>
      <w:proofErr w:type="gramStart"/>
      <w:r w:rsidRPr="00AD70F5">
        <w:t>stratégiai</w:t>
      </w:r>
      <w:proofErr w:type="gramEnd"/>
      <w:r w:rsidRPr="00AD70F5">
        <w:t xml:space="preserve"> és koordinációs főigazgató</w:t>
      </w:r>
    </w:p>
    <w:p w:rsidR="00805DFF" w:rsidRDefault="00805DFF" w:rsidP="00561028">
      <w:pPr>
        <w:tabs>
          <w:tab w:val="center" w:pos="2520"/>
          <w:tab w:val="center" w:pos="7200"/>
        </w:tabs>
        <w:spacing w:line="240" w:lineRule="auto"/>
      </w:pPr>
    </w:p>
    <w:sectPr w:rsidR="00805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E7B82"/>
    <w:multiLevelType w:val="hybridMultilevel"/>
    <w:tmpl w:val="E3B4FE66"/>
    <w:lvl w:ilvl="0" w:tplc="2222E718">
      <w:start w:val="1"/>
      <w:numFmt w:val="lowerLetter"/>
      <w:lvlText w:val="(%1)"/>
      <w:lvlJc w:val="left"/>
      <w:pPr>
        <w:ind w:left="100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4CBF0A6B"/>
    <w:multiLevelType w:val="hybridMultilevel"/>
    <w:tmpl w:val="A7C4ACDA"/>
    <w:lvl w:ilvl="0" w:tplc="2222E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375502E"/>
    <w:multiLevelType w:val="hybridMultilevel"/>
    <w:tmpl w:val="60F0482A"/>
    <w:lvl w:ilvl="0" w:tplc="2222E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FA1407"/>
    <w:multiLevelType w:val="hybridMultilevel"/>
    <w:tmpl w:val="0F28ED5E"/>
    <w:lvl w:ilvl="0" w:tplc="2222E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28"/>
    <w:rsid w:val="00561028"/>
    <w:rsid w:val="007E51E3"/>
    <w:rsid w:val="0080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562C"/>
  <w15:chartTrackingRefBased/>
  <w15:docId w15:val="{BA7EBD67-F6B5-463C-9CAC-2E95F48A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1028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610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qFormat/>
    <w:rsid w:val="00561028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561028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Szvegtrzs">
    <w:name w:val="Body Text"/>
    <w:basedOn w:val="Norml"/>
    <w:link w:val="SzvegtrzsChar"/>
    <w:uiPriority w:val="99"/>
    <w:rsid w:val="00561028"/>
    <w:pPr>
      <w:spacing w:after="120" w:line="240" w:lineRule="auto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56102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uiPriority w:val="10"/>
    <w:qFormat/>
    <w:rsid w:val="00561028"/>
    <w:pPr>
      <w:spacing w:line="240" w:lineRule="auto"/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10"/>
    <w:rsid w:val="0056102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Cimsor2">
    <w:name w:val="Cimsor2"/>
    <w:basedOn w:val="Cmsor2"/>
    <w:rsid w:val="00561028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color w:val="auto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6102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2018-08-22T06:11:00Z</dcterms:created>
  <dcterms:modified xsi:type="dcterms:W3CDTF">2018-08-22T06:12:00Z</dcterms:modified>
</cp:coreProperties>
</file>